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A1" w:rsidRDefault="00B87BF9">
      <w:bookmarkStart w:id="0" w:name="_GoBack"/>
      <w:bookmarkEnd w:id="0"/>
      <w:proofErr w:type="spellStart"/>
      <w:r>
        <w:t>Kempshott</w:t>
      </w:r>
      <w:proofErr w:type="spellEnd"/>
      <w:r>
        <w:t xml:space="preserve"> Junior</w:t>
      </w:r>
      <w:r w:rsidR="00E30F6D">
        <w:t xml:space="preserve"> School – Science: Progression of Skills </w:t>
      </w:r>
    </w:p>
    <w:tbl>
      <w:tblPr>
        <w:tblStyle w:val="TableGrid"/>
        <w:tblW w:w="15614" w:type="dxa"/>
        <w:tblInd w:w="-107" w:type="dxa"/>
        <w:tblCellMar>
          <w:top w:w="47" w:type="dxa"/>
          <w:right w:w="67" w:type="dxa"/>
        </w:tblCellMar>
        <w:tblLook w:val="04A0" w:firstRow="1" w:lastRow="0" w:firstColumn="1" w:lastColumn="0" w:noHBand="0" w:noVBand="1"/>
      </w:tblPr>
      <w:tblGrid>
        <w:gridCol w:w="929"/>
        <w:gridCol w:w="324"/>
        <w:gridCol w:w="2121"/>
        <w:gridCol w:w="2319"/>
        <w:gridCol w:w="336"/>
        <w:gridCol w:w="2185"/>
        <w:gridCol w:w="2457"/>
        <w:gridCol w:w="336"/>
        <w:gridCol w:w="2165"/>
        <w:gridCol w:w="336"/>
        <w:gridCol w:w="2106"/>
      </w:tblGrid>
      <w:tr w:rsidR="00A627A1">
        <w:trPr>
          <w:trHeight w:val="522"/>
        </w:trPr>
        <w:tc>
          <w:tcPr>
            <w:tcW w:w="929" w:type="dxa"/>
            <w:tcBorders>
              <w:top w:val="single" w:sz="4" w:space="0" w:color="000000"/>
              <w:left w:val="single" w:sz="4" w:space="0" w:color="000000"/>
              <w:bottom w:val="single" w:sz="4" w:space="0" w:color="000000"/>
              <w:right w:val="single" w:sz="4" w:space="0" w:color="000000"/>
            </w:tcBorders>
            <w:shd w:val="clear" w:color="auto" w:fill="00B050"/>
          </w:tcPr>
          <w:p w:rsidR="00A627A1" w:rsidRDefault="00E30F6D">
            <w:pPr>
              <w:ind w:left="64" w:right="0"/>
              <w:jc w:val="center"/>
            </w:pPr>
            <w:r>
              <w:rPr>
                <w:sz w:val="16"/>
              </w:rPr>
              <w:t xml:space="preserve">Year Group </w:t>
            </w:r>
          </w:p>
        </w:tc>
        <w:tc>
          <w:tcPr>
            <w:tcW w:w="324" w:type="dxa"/>
            <w:tcBorders>
              <w:top w:val="single" w:sz="4" w:space="0" w:color="000000"/>
              <w:left w:val="single" w:sz="4" w:space="0" w:color="000000"/>
              <w:bottom w:val="single" w:sz="4" w:space="0" w:color="000000"/>
              <w:right w:val="nil"/>
            </w:tcBorders>
            <w:shd w:val="clear" w:color="auto" w:fill="00B050"/>
          </w:tcPr>
          <w:p w:rsidR="00A627A1" w:rsidRDefault="00A627A1">
            <w:pPr>
              <w:spacing w:after="160"/>
              <w:ind w:right="0"/>
              <w:jc w:val="left"/>
            </w:pPr>
          </w:p>
        </w:tc>
        <w:tc>
          <w:tcPr>
            <w:tcW w:w="2121" w:type="dxa"/>
            <w:tcBorders>
              <w:top w:val="single" w:sz="4" w:space="0" w:color="000000"/>
              <w:left w:val="nil"/>
              <w:bottom w:val="single" w:sz="4" w:space="0" w:color="000000"/>
              <w:right w:val="single" w:sz="4" w:space="0" w:color="000000"/>
            </w:tcBorders>
            <w:shd w:val="clear" w:color="auto" w:fill="00B050"/>
            <w:vAlign w:val="center"/>
          </w:tcPr>
          <w:p w:rsidR="00A627A1" w:rsidRDefault="00E30F6D">
            <w:pPr>
              <w:ind w:left="247" w:right="0"/>
              <w:jc w:val="left"/>
            </w:pPr>
            <w:r>
              <w:rPr>
                <w:sz w:val="16"/>
              </w:rPr>
              <w:t xml:space="preserve">Types of enquiry </w:t>
            </w:r>
          </w:p>
        </w:tc>
        <w:tc>
          <w:tcPr>
            <w:tcW w:w="2319" w:type="dxa"/>
            <w:tcBorders>
              <w:top w:val="single" w:sz="4" w:space="0" w:color="000000"/>
              <w:left w:val="single" w:sz="4" w:space="0" w:color="000000"/>
              <w:bottom w:val="single" w:sz="4" w:space="0" w:color="000000"/>
              <w:right w:val="single" w:sz="4" w:space="0" w:color="000000"/>
            </w:tcBorders>
            <w:shd w:val="clear" w:color="auto" w:fill="00B050"/>
          </w:tcPr>
          <w:p w:rsidR="00A627A1" w:rsidRDefault="00E30F6D">
            <w:pPr>
              <w:ind w:left="95" w:right="0"/>
              <w:jc w:val="center"/>
            </w:pPr>
            <w:r>
              <w:rPr>
                <w:sz w:val="16"/>
              </w:rPr>
              <w:t xml:space="preserve">Recording and teaching that supports key learning </w:t>
            </w:r>
          </w:p>
        </w:tc>
        <w:tc>
          <w:tcPr>
            <w:tcW w:w="336" w:type="dxa"/>
            <w:tcBorders>
              <w:top w:val="single" w:sz="4" w:space="0" w:color="000000"/>
              <w:left w:val="single" w:sz="4" w:space="0" w:color="000000"/>
              <w:bottom w:val="single" w:sz="4" w:space="0" w:color="000000"/>
              <w:right w:val="nil"/>
            </w:tcBorders>
            <w:shd w:val="clear" w:color="auto" w:fill="00B050"/>
          </w:tcPr>
          <w:p w:rsidR="00A627A1" w:rsidRDefault="00A627A1">
            <w:pPr>
              <w:spacing w:after="160"/>
              <w:ind w:right="0"/>
              <w:jc w:val="left"/>
            </w:pPr>
          </w:p>
        </w:tc>
        <w:tc>
          <w:tcPr>
            <w:tcW w:w="2185" w:type="dxa"/>
            <w:tcBorders>
              <w:top w:val="single" w:sz="4" w:space="0" w:color="000000"/>
              <w:left w:val="nil"/>
              <w:bottom w:val="single" w:sz="4" w:space="0" w:color="000000"/>
              <w:right w:val="single" w:sz="4" w:space="0" w:color="000000"/>
            </w:tcBorders>
            <w:shd w:val="clear" w:color="auto" w:fill="00B050"/>
            <w:vAlign w:val="center"/>
          </w:tcPr>
          <w:p w:rsidR="00A627A1" w:rsidRDefault="00E30F6D">
            <w:pPr>
              <w:ind w:left="264" w:right="0"/>
              <w:jc w:val="left"/>
            </w:pPr>
            <w:r>
              <w:rPr>
                <w:sz w:val="16"/>
              </w:rPr>
              <w:t xml:space="preserve">Asking Questions </w:t>
            </w:r>
          </w:p>
        </w:tc>
        <w:tc>
          <w:tcPr>
            <w:tcW w:w="245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A627A1" w:rsidRDefault="00E30F6D">
            <w:pPr>
              <w:ind w:left="66" w:right="0"/>
              <w:jc w:val="center"/>
            </w:pPr>
            <w:r>
              <w:rPr>
                <w:sz w:val="16"/>
              </w:rPr>
              <w:t xml:space="preserve">Measuring and Recording </w:t>
            </w:r>
          </w:p>
        </w:tc>
        <w:tc>
          <w:tcPr>
            <w:tcW w:w="336" w:type="dxa"/>
            <w:tcBorders>
              <w:top w:val="single" w:sz="4" w:space="0" w:color="000000"/>
              <w:left w:val="single" w:sz="4" w:space="0" w:color="000000"/>
              <w:bottom w:val="single" w:sz="4" w:space="0" w:color="000000"/>
              <w:right w:val="nil"/>
            </w:tcBorders>
            <w:shd w:val="clear" w:color="auto" w:fill="00B050"/>
          </w:tcPr>
          <w:p w:rsidR="00A627A1" w:rsidRDefault="00A627A1">
            <w:pPr>
              <w:spacing w:after="160"/>
              <w:ind w:right="0"/>
              <w:jc w:val="left"/>
            </w:pPr>
          </w:p>
        </w:tc>
        <w:tc>
          <w:tcPr>
            <w:tcW w:w="2165" w:type="dxa"/>
            <w:tcBorders>
              <w:top w:val="single" w:sz="4" w:space="0" w:color="000000"/>
              <w:left w:val="nil"/>
              <w:bottom w:val="single" w:sz="4" w:space="0" w:color="000000"/>
              <w:right w:val="single" w:sz="4" w:space="0" w:color="000000"/>
            </w:tcBorders>
            <w:shd w:val="clear" w:color="auto" w:fill="00B050"/>
            <w:vAlign w:val="center"/>
          </w:tcPr>
          <w:p w:rsidR="00A627A1" w:rsidRDefault="00E30F6D">
            <w:pPr>
              <w:ind w:left="521" w:right="0"/>
              <w:jc w:val="left"/>
            </w:pPr>
            <w:r>
              <w:rPr>
                <w:sz w:val="16"/>
              </w:rPr>
              <w:t xml:space="preserve">Concluding </w:t>
            </w:r>
          </w:p>
        </w:tc>
        <w:tc>
          <w:tcPr>
            <w:tcW w:w="336" w:type="dxa"/>
            <w:tcBorders>
              <w:top w:val="single" w:sz="4" w:space="0" w:color="000000"/>
              <w:left w:val="single" w:sz="4" w:space="0" w:color="000000"/>
              <w:bottom w:val="single" w:sz="4" w:space="0" w:color="000000"/>
              <w:right w:val="nil"/>
            </w:tcBorders>
            <w:shd w:val="clear" w:color="auto" w:fill="00B050"/>
          </w:tcPr>
          <w:p w:rsidR="00A627A1" w:rsidRDefault="00A627A1">
            <w:pPr>
              <w:spacing w:after="160"/>
              <w:ind w:right="0"/>
              <w:jc w:val="left"/>
            </w:pPr>
          </w:p>
        </w:tc>
        <w:tc>
          <w:tcPr>
            <w:tcW w:w="2106" w:type="dxa"/>
            <w:tcBorders>
              <w:top w:val="single" w:sz="4" w:space="0" w:color="000000"/>
              <w:left w:val="nil"/>
              <w:bottom w:val="single" w:sz="4" w:space="0" w:color="000000"/>
              <w:right w:val="single" w:sz="4" w:space="0" w:color="000000"/>
            </w:tcBorders>
            <w:shd w:val="clear" w:color="auto" w:fill="00B050"/>
            <w:vAlign w:val="center"/>
          </w:tcPr>
          <w:p w:rsidR="00A627A1" w:rsidRDefault="00E30F6D">
            <w:pPr>
              <w:ind w:left="499" w:right="0"/>
              <w:jc w:val="left"/>
            </w:pPr>
            <w:r>
              <w:rPr>
                <w:sz w:val="16"/>
              </w:rPr>
              <w:t xml:space="preserve">Evaluating </w:t>
            </w:r>
          </w:p>
        </w:tc>
      </w:tr>
      <w:tr w:rsidR="00A627A1">
        <w:trPr>
          <w:trHeight w:val="792"/>
        </w:trPr>
        <w:tc>
          <w:tcPr>
            <w:tcW w:w="929" w:type="dxa"/>
            <w:tcBorders>
              <w:top w:val="single" w:sz="4" w:space="0" w:color="000000"/>
              <w:left w:val="single" w:sz="4" w:space="0" w:color="000000"/>
              <w:bottom w:val="single" w:sz="4" w:space="0" w:color="000000"/>
              <w:right w:val="single" w:sz="4" w:space="0" w:color="000000"/>
            </w:tcBorders>
            <w:shd w:val="clear" w:color="auto" w:fill="00B050"/>
          </w:tcPr>
          <w:p w:rsidR="00A627A1" w:rsidRDefault="00E30F6D">
            <w:pPr>
              <w:ind w:left="67" w:right="0"/>
              <w:jc w:val="center"/>
            </w:pPr>
            <w:r>
              <w:rPr>
                <w:sz w:val="16"/>
              </w:rPr>
              <w:t xml:space="preserve">R/1 </w:t>
            </w:r>
          </w:p>
        </w:tc>
        <w:tc>
          <w:tcPr>
            <w:tcW w:w="324" w:type="dxa"/>
            <w:tcBorders>
              <w:top w:val="single" w:sz="4" w:space="0" w:color="000000"/>
              <w:left w:val="single" w:sz="4" w:space="0" w:color="000000"/>
              <w:bottom w:val="single" w:sz="4" w:space="0" w:color="000000"/>
              <w:right w:val="nil"/>
            </w:tcBorders>
          </w:tcPr>
          <w:p w:rsidR="00A627A1" w:rsidRDefault="00E30F6D">
            <w:pPr>
              <w:spacing w:after="210"/>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21" w:type="dxa"/>
            <w:tcBorders>
              <w:top w:val="single" w:sz="4" w:space="0" w:color="000000"/>
              <w:left w:val="nil"/>
              <w:bottom w:val="single" w:sz="4" w:space="0" w:color="000000"/>
              <w:right w:val="single" w:sz="4" w:space="0" w:color="000000"/>
            </w:tcBorders>
          </w:tcPr>
          <w:p w:rsidR="00A627A1" w:rsidRDefault="00E30F6D">
            <w:pPr>
              <w:spacing w:line="243" w:lineRule="auto"/>
              <w:ind w:left="14" w:right="0"/>
              <w:jc w:val="left"/>
            </w:pPr>
            <w:r>
              <w:rPr>
                <w:b w:val="0"/>
                <w:sz w:val="14"/>
              </w:rPr>
              <w:t xml:space="preserve">Comparing differences and changes </w:t>
            </w:r>
          </w:p>
          <w:p w:rsidR="00A627A1" w:rsidRDefault="00E30F6D">
            <w:pPr>
              <w:ind w:left="14" w:right="0"/>
              <w:jc w:val="left"/>
            </w:pPr>
            <w:r>
              <w:rPr>
                <w:b w:val="0"/>
                <w:sz w:val="14"/>
              </w:rPr>
              <w:t xml:space="preserve">Describing the effect of changing things </w:t>
            </w:r>
          </w:p>
        </w:tc>
        <w:tc>
          <w:tcPr>
            <w:tcW w:w="2319" w:type="dxa"/>
            <w:tcBorders>
              <w:top w:val="single" w:sz="4" w:space="0" w:color="000000"/>
              <w:left w:val="single" w:sz="4" w:space="0" w:color="000000"/>
              <w:bottom w:val="single" w:sz="4" w:space="0" w:color="000000"/>
              <w:right w:val="single" w:sz="4" w:space="0" w:color="000000"/>
            </w:tcBorders>
          </w:tcPr>
          <w:p w:rsidR="00A627A1" w:rsidRDefault="00E30F6D">
            <w:pPr>
              <w:numPr>
                <w:ilvl w:val="0"/>
                <w:numId w:val="1"/>
              </w:numPr>
              <w:spacing w:after="3"/>
              <w:ind w:right="0" w:hanging="228"/>
              <w:jc w:val="left"/>
            </w:pPr>
            <w:r>
              <w:rPr>
                <w:b w:val="0"/>
                <w:sz w:val="14"/>
              </w:rPr>
              <w:t xml:space="preserve">Pictograms </w:t>
            </w:r>
          </w:p>
          <w:p w:rsidR="00A627A1" w:rsidRDefault="00E30F6D">
            <w:pPr>
              <w:numPr>
                <w:ilvl w:val="0"/>
                <w:numId w:val="1"/>
              </w:numPr>
              <w:ind w:right="0" w:hanging="228"/>
              <w:jc w:val="left"/>
            </w:pPr>
            <w:r>
              <w:rPr>
                <w:b w:val="0"/>
                <w:sz w:val="14"/>
              </w:rPr>
              <w:t xml:space="preserve">Bar chart </w:t>
            </w:r>
          </w:p>
        </w:tc>
        <w:tc>
          <w:tcPr>
            <w:tcW w:w="336" w:type="dxa"/>
            <w:tcBorders>
              <w:top w:val="single" w:sz="4" w:space="0" w:color="000000"/>
              <w:left w:val="single" w:sz="4" w:space="0" w:color="000000"/>
              <w:bottom w:val="single" w:sz="4" w:space="0" w:color="000000"/>
              <w:right w:val="nil"/>
            </w:tcBorders>
          </w:tcPr>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85" w:type="dxa"/>
            <w:tcBorders>
              <w:top w:val="single" w:sz="4" w:space="0" w:color="000000"/>
              <w:left w:val="nil"/>
              <w:bottom w:val="single" w:sz="4" w:space="0" w:color="000000"/>
              <w:right w:val="single" w:sz="4" w:space="0" w:color="000000"/>
            </w:tcBorders>
          </w:tcPr>
          <w:p w:rsidR="00A627A1" w:rsidRDefault="00E30F6D">
            <w:pPr>
              <w:ind w:right="9"/>
              <w:jc w:val="both"/>
            </w:pPr>
            <w:r>
              <w:rPr>
                <w:b w:val="0"/>
                <w:sz w:val="14"/>
              </w:rPr>
              <w:t xml:space="preserve">Ask simple questions about what they have seen </w:t>
            </w:r>
          </w:p>
        </w:tc>
        <w:tc>
          <w:tcPr>
            <w:tcW w:w="2457" w:type="dxa"/>
            <w:tcBorders>
              <w:top w:val="single" w:sz="4" w:space="0" w:color="000000"/>
              <w:left w:val="single" w:sz="4" w:space="0" w:color="000000"/>
              <w:bottom w:val="single" w:sz="4" w:space="0" w:color="000000"/>
              <w:right w:val="single" w:sz="4" w:space="0" w:color="000000"/>
            </w:tcBorders>
          </w:tcPr>
          <w:p w:rsidR="00A627A1" w:rsidRDefault="00E30F6D">
            <w:pPr>
              <w:ind w:left="335" w:right="0" w:hanging="228"/>
              <w:jc w:val="left"/>
            </w:pPr>
            <w:r>
              <w:rPr>
                <w:rFonts w:ascii="Segoe UI Symbol" w:eastAsia="Segoe UI Symbol" w:hAnsi="Segoe UI Symbol" w:cs="Segoe UI Symbol"/>
                <w:b w:val="0"/>
                <w:sz w:val="14"/>
              </w:rPr>
              <w:t></w:t>
            </w:r>
            <w:r>
              <w:rPr>
                <w:rFonts w:ascii="Arial" w:eastAsia="Arial" w:hAnsi="Arial" w:cs="Arial"/>
                <w:b w:val="0"/>
                <w:sz w:val="14"/>
              </w:rPr>
              <w:t xml:space="preserve"> </w:t>
            </w:r>
            <w:r>
              <w:rPr>
                <w:b w:val="0"/>
                <w:sz w:val="14"/>
              </w:rPr>
              <w:t>Observe carefully and tell someone else what they have noticed</w:t>
            </w:r>
            <w:r>
              <w:rPr>
                <w:sz w:val="14"/>
              </w:rPr>
              <w:t xml:space="preserve"> </w:t>
            </w:r>
          </w:p>
        </w:tc>
        <w:tc>
          <w:tcPr>
            <w:tcW w:w="336" w:type="dxa"/>
            <w:tcBorders>
              <w:top w:val="single" w:sz="4" w:space="0" w:color="000000"/>
              <w:left w:val="single" w:sz="4" w:space="0" w:color="000000"/>
              <w:bottom w:val="single" w:sz="4" w:space="0" w:color="000000"/>
              <w:right w:val="nil"/>
            </w:tcBorders>
          </w:tcPr>
          <w:p w:rsidR="00A627A1" w:rsidRDefault="00E30F6D">
            <w:pPr>
              <w:ind w:left="108" w:right="0"/>
              <w:jc w:val="left"/>
            </w:pPr>
            <w:r>
              <w:rPr>
                <w:b w:val="0"/>
                <w:sz w:val="14"/>
              </w:rPr>
              <w:t xml:space="preserve"> </w:t>
            </w:r>
          </w:p>
        </w:tc>
        <w:tc>
          <w:tcPr>
            <w:tcW w:w="2165" w:type="dxa"/>
            <w:tcBorders>
              <w:top w:val="single" w:sz="4" w:space="0" w:color="000000"/>
              <w:left w:val="nil"/>
              <w:bottom w:val="single" w:sz="4" w:space="0" w:color="000000"/>
              <w:right w:val="single" w:sz="4" w:space="0" w:color="000000"/>
            </w:tcBorders>
          </w:tcPr>
          <w:p w:rsidR="00A627A1" w:rsidRDefault="00A627A1">
            <w:pPr>
              <w:spacing w:after="160"/>
              <w:ind w:right="0"/>
              <w:jc w:val="left"/>
            </w:pPr>
          </w:p>
        </w:tc>
        <w:tc>
          <w:tcPr>
            <w:tcW w:w="336" w:type="dxa"/>
            <w:tcBorders>
              <w:top w:val="single" w:sz="4" w:space="0" w:color="000000"/>
              <w:left w:val="single" w:sz="4" w:space="0" w:color="000000"/>
              <w:bottom w:val="single" w:sz="4" w:space="0" w:color="000000"/>
              <w:right w:val="nil"/>
            </w:tcBorders>
          </w:tcPr>
          <w:p w:rsidR="00A627A1" w:rsidRDefault="00E30F6D">
            <w:pPr>
              <w:ind w:left="108" w:right="0"/>
              <w:jc w:val="left"/>
            </w:pPr>
            <w:r>
              <w:rPr>
                <w:b w:val="0"/>
                <w:sz w:val="14"/>
              </w:rPr>
              <w:t xml:space="preserve"> </w:t>
            </w:r>
          </w:p>
        </w:tc>
        <w:tc>
          <w:tcPr>
            <w:tcW w:w="2106" w:type="dxa"/>
            <w:tcBorders>
              <w:top w:val="single" w:sz="4" w:space="0" w:color="000000"/>
              <w:left w:val="nil"/>
              <w:bottom w:val="single" w:sz="4" w:space="0" w:color="000000"/>
              <w:right w:val="single" w:sz="4" w:space="0" w:color="000000"/>
            </w:tcBorders>
          </w:tcPr>
          <w:p w:rsidR="00A627A1" w:rsidRDefault="00A627A1">
            <w:pPr>
              <w:spacing w:after="160"/>
              <w:ind w:right="0"/>
              <w:jc w:val="left"/>
            </w:pPr>
          </w:p>
        </w:tc>
      </w:tr>
      <w:tr w:rsidR="00A627A1">
        <w:trPr>
          <w:trHeight w:val="2350"/>
        </w:trPr>
        <w:tc>
          <w:tcPr>
            <w:tcW w:w="929" w:type="dxa"/>
            <w:tcBorders>
              <w:top w:val="single" w:sz="4" w:space="0" w:color="000000"/>
              <w:left w:val="single" w:sz="4" w:space="0" w:color="000000"/>
              <w:bottom w:val="single" w:sz="4" w:space="0" w:color="000000"/>
              <w:right w:val="single" w:sz="4" w:space="0" w:color="000000"/>
            </w:tcBorders>
            <w:shd w:val="clear" w:color="auto" w:fill="00B050"/>
          </w:tcPr>
          <w:p w:rsidR="00A627A1" w:rsidRDefault="00E30F6D">
            <w:pPr>
              <w:ind w:left="62" w:right="0"/>
              <w:jc w:val="center"/>
            </w:pPr>
            <w:r>
              <w:rPr>
                <w:sz w:val="16"/>
              </w:rPr>
              <w:t xml:space="preserve">1/2 </w:t>
            </w:r>
          </w:p>
        </w:tc>
        <w:tc>
          <w:tcPr>
            <w:tcW w:w="324" w:type="dxa"/>
            <w:tcBorders>
              <w:top w:val="single" w:sz="4" w:space="0" w:color="000000"/>
              <w:left w:val="single" w:sz="4" w:space="0" w:color="000000"/>
              <w:bottom w:val="single" w:sz="4" w:space="0" w:color="000000"/>
              <w:right w:val="nil"/>
            </w:tcBorders>
          </w:tcPr>
          <w:p w:rsidR="00A627A1" w:rsidRDefault="00E30F6D">
            <w:pPr>
              <w:spacing w:after="13"/>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spacing w:after="210"/>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spacing w:after="405"/>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spacing w:after="189"/>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109" w:right="0"/>
              <w:jc w:val="left"/>
            </w:pPr>
            <w:r>
              <w:rPr>
                <w:b w:val="0"/>
                <w:sz w:val="14"/>
              </w:rPr>
              <w:t xml:space="preserve"> </w:t>
            </w:r>
          </w:p>
        </w:tc>
        <w:tc>
          <w:tcPr>
            <w:tcW w:w="2121" w:type="dxa"/>
            <w:tcBorders>
              <w:top w:val="single" w:sz="4" w:space="0" w:color="000000"/>
              <w:left w:val="nil"/>
              <w:bottom w:val="single" w:sz="4" w:space="0" w:color="000000"/>
              <w:right w:val="single" w:sz="4" w:space="0" w:color="000000"/>
            </w:tcBorders>
          </w:tcPr>
          <w:p w:rsidR="00A627A1" w:rsidRDefault="00E30F6D">
            <w:pPr>
              <w:spacing w:line="241" w:lineRule="auto"/>
              <w:ind w:left="14" w:right="0"/>
              <w:jc w:val="left"/>
            </w:pPr>
            <w:r>
              <w:rPr>
                <w:b w:val="0"/>
                <w:sz w:val="14"/>
              </w:rPr>
              <w:t xml:space="preserve">Describing in order to classify Surveys to identify patterns and support classification Using secondary sources, including the internet and </w:t>
            </w:r>
          </w:p>
          <w:p w:rsidR="00A627A1" w:rsidRDefault="00E30F6D">
            <w:pPr>
              <w:ind w:right="0"/>
              <w:jc w:val="left"/>
            </w:pPr>
            <w:r>
              <w:rPr>
                <w:b w:val="0"/>
                <w:sz w:val="15"/>
              </w:rPr>
              <w:t>experts</w:t>
            </w:r>
            <w:r>
              <w:rPr>
                <w:b w:val="0"/>
                <w:sz w:val="14"/>
              </w:rPr>
              <w:t xml:space="preserve"> </w:t>
            </w:r>
          </w:p>
          <w:p w:rsidR="00A627A1" w:rsidRDefault="00E30F6D">
            <w:pPr>
              <w:ind w:left="14" w:right="0"/>
              <w:jc w:val="left"/>
            </w:pPr>
            <w:r>
              <w:rPr>
                <w:b w:val="0"/>
                <w:sz w:val="14"/>
              </w:rPr>
              <w:t xml:space="preserve">Begin to look for relationships </w:t>
            </w:r>
          </w:p>
          <w:p w:rsidR="00A627A1" w:rsidRDefault="00E30F6D">
            <w:pPr>
              <w:ind w:left="14" w:right="0"/>
              <w:jc w:val="left"/>
            </w:pPr>
            <w:r>
              <w:rPr>
                <w:b w:val="0"/>
                <w:sz w:val="14"/>
              </w:rPr>
              <w:t xml:space="preserve">(patterns) between variables </w:t>
            </w:r>
          </w:p>
        </w:tc>
        <w:tc>
          <w:tcPr>
            <w:tcW w:w="2319" w:type="dxa"/>
            <w:tcBorders>
              <w:top w:val="single" w:sz="4" w:space="0" w:color="000000"/>
              <w:left w:val="single" w:sz="4" w:space="0" w:color="000000"/>
              <w:bottom w:val="single" w:sz="4" w:space="0" w:color="000000"/>
              <w:right w:val="single" w:sz="4" w:space="0" w:color="000000"/>
            </w:tcBorders>
          </w:tcPr>
          <w:p w:rsidR="00A627A1" w:rsidRDefault="00E30F6D">
            <w:pPr>
              <w:numPr>
                <w:ilvl w:val="0"/>
                <w:numId w:val="2"/>
              </w:numPr>
              <w:ind w:right="0" w:hanging="228"/>
              <w:jc w:val="left"/>
            </w:pPr>
            <w:r>
              <w:rPr>
                <w:b w:val="0"/>
                <w:sz w:val="14"/>
              </w:rPr>
              <w:t xml:space="preserve">Venn diagrams </w:t>
            </w:r>
          </w:p>
          <w:p w:rsidR="00A627A1" w:rsidRDefault="00E30F6D">
            <w:pPr>
              <w:numPr>
                <w:ilvl w:val="0"/>
                <w:numId w:val="2"/>
              </w:numPr>
              <w:ind w:right="0" w:hanging="228"/>
              <w:jc w:val="left"/>
            </w:pPr>
            <w:r>
              <w:rPr>
                <w:b w:val="0"/>
                <w:sz w:val="14"/>
              </w:rPr>
              <w:t xml:space="preserve">Bar charts </w:t>
            </w:r>
          </w:p>
          <w:p w:rsidR="00A627A1" w:rsidRDefault="00E30F6D">
            <w:pPr>
              <w:numPr>
                <w:ilvl w:val="0"/>
                <w:numId w:val="2"/>
              </w:numPr>
              <w:spacing w:after="16" w:line="241" w:lineRule="auto"/>
              <w:ind w:right="0" w:hanging="228"/>
              <w:jc w:val="left"/>
            </w:pPr>
            <w:r>
              <w:rPr>
                <w:b w:val="0"/>
                <w:sz w:val="14"/>
              </w:rPr>
              <w:t xml:space="preserve">Timelines and tables showing how one and more than one thing changes over time </w:t>
            </w:r>
          </w:p>
          <w:p w:rsidR="00A627A1" w:rsidRDefault="00E30F6D">
            <w:pPr>
              <w:numPr>
                <w:ilvl w:val="0"/>
                <w:numId w:val="2"/>
              </w:numPr>
              <w:ind w:right="0" w:hanging="228"/>
              <w:jc w:val="left"/>
            </w:pPr>
            <w:r>
              <w:rPr>
                <w:b w:val="0"/>
                <w:sz w:val="14"/>
              </w:rPr>
              <w:t xml:space="preserve">Tally charts </w:t>
            </w:r>
          </w:p>
          <w:p w:rsidR="00A627A1" w:rsidRDefault="00E30F6D">
            <w:pPr>
              <w:numPr>
                <w:ilvl w:val="0"/>
                <w:numId w:val="2"/>
              </w:numPr>
              <w:ind w:right="0" w:hanging="228"/>
              <w:jc w:val="left"/>
            </w:pPr>
            <w:r>
              <w:rPr>
                <w:b w:val="0"/>
                <w:sz w:val="14"/>
              </w:rPr>
              <w:t xml:space="preserve">Results tables with the independent variable increasing in one column and the dependent variable in the other </w:t>
            </w:r>
          </w:p>
        </w:tc>
        <w:tc>
          <w:tcPr>
            <w:tcW w:w="336" w:type="dxa"/>
            <w:tcBorders>
              <w:top w:val="single" w:sz="4" w:space="0" w:color="000000"/>
              <w:left w:val="single" w:sz="4" w:space="0" w:color="000000"/>
              <w:bottom w:val="single" w:sz="4" w:space="0" w:color="000000"/>
              <w:right w:val="nil"/>
            </w:tcBorders>
          </w:tcPr>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85" w:type="dxa"/>
            <w:tcBorders>
              <w:top w:val="single" w:sz="4" w:space="0" w:color="000000"/>
              <w:left w:val="nil"/>
              <w:bottom w:val="single" w:sz="4" w:space="0" w:color="000000"/>
              <w:right w:val="single" w:sz="4" w:space="0" w:color="000000"/>
            </w:tcBorders>
          </w:tcPr>
          <w:p w:rsidR="00A627A1" w:rsidRDefault="00E30F6D">
            <w:pPr>
              <w:ind w:right="40"/>
              <w:jc w:val="left"/>
            </w:pPr>
            <w:r>
              <w:rPr>
                <w:sz w:val="14"/>
              </w:rPr>
              <w:t xml:space="preserve">(WS1)Ask simple questions and recognise that they can be answered in different ways </w:t>
            </w:r>
          </w:p>
        </w:tc>
        <w:tc>
          <w:tcPr>
            <w:tcW w:w="2457" w:type="dxa"/>
            <w:tcBorders>
              <w:top w:val="single" w:sz="4" w:space="0" w:color="000000"/>
              <w:left w:val="single" w:sz="4" w:space="0" w:color="000000"/>
              <w:bottom w:val="single" w:sz="4" w:space="0" w:color="000000"/>
              <w:right w:val="single" w:sz="4" w:space="0" w:color="000000"/>
            </w:tcBorders>
          </w:tcPr>
          <w:p w:rsidR="00A627A1" w:rsidRDefault="00E30F6D">
            <w:pPr>
              <w:numPr>
                <w:ilvl w:val="0"/>
                <w:numId w:val="3"/>
              </w:numPr>
              <w:spacing w:after="14"/>
              <w:ind w:right="0" w:hanging="228"/>
              <w:jc w:val="left"/>
            </w:pPr>
            <w:r>
              <w:rPr>
                <w:sz w:val="14"/>
              </w:rPr>
              <w:t xml:space="preserve">(WS2)Observe closely, using simple equipment </w:t>
            </w:r>
          </w:p>
          <w:p w:rsidR="00A627A1" w:rsidRDefault="00E30F6D">
            <w:pPr>
              <w:numPr>
                <w:ilvl w:val="0"/>
                <w:numId w:val="3"/>
              </w:numPr>
              <w:spacing w:after="2"/>
              <w:ind w:right="0" w:hanging="228"/>
              <w:jc w:val="left"/>
            </w:pPr>
            <w:r>
              <w:rPr>
                <w:sz w:val="14"/>
              </w:rPr>
              <w:t xml:space="preserve">(WS3)Perform simple tests </w:t>
            </w:r>
          </w:p>
          <w:p w:rsidR="00A627A1" w:rsidRDefault="00E30F6D">
            <w:pPr>
              <w:numPr>
                <w:ilvl w:val="0"/>
                <w:numId w:val="3"/>
              </w:numPr>
              <w:ind w:right="0" w:hanging="228"/>
              <w:jc w:val="left"/>
            </w:pPr>
            <w:r>
              <w:rPr>
                <w:sz w:val="14"/>
              </w:rPr>
              <w:t xml:space="preserve">(WS6)Gather and record data to help in answering questions </w:t>
            </w:r>
          </w:p>
        </w:tc>
        <w:tc>
          <w:tcPr>
            <w:tcW w:w="336" w:type="dxa"/>
            <w:tcBorders>
              <w:top w:val="single" w:sz="4" w:space="0" w:color="000000"/>
              <w:left w:val="single" w:sz="4" w:space="0" w:color="000000"/>
              <w:bottom w:val="single" w:sz="4" w:space="0" w:color="000000"/>
              <w:right w:val="nil"/>
            </w:tcBorders>
          </w:tcPr>
          <w:p w:rsidR="00A627A1" w:rsidRDefault="00E30F6D">
            <w:pPr>
              <w:spacing w:after="13"/>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65" w:type="dxa"/>
            <w:tcBorders>
              <w:top w:val="single" w:sz="4" w:space="0" w:color="000000"/>
              <w:left w:val="nil"/>
              <w:bottom w:val="single" w:sz="4" w:space="0" w:color="000000"/>
              <w:right w:val="single" w:sz="4" w:space="0" w:color="000000"/>
            </w:tcBorders>
          </w:tcPr>
          <w:p w:rsidR="00A627A1" w:rsidRDefault="00E30F6D">
            <w:pPr>
              <w:ind w:right="0"/>
              <w:jc w:val="left"/>
            </w:pPr>
            <w:r>
              <w:rPr>
                <w:sz w:val="14"/>
              </w:rPr>
              <w:t xml:space="preserve">(WS4)Identify and classify (WS5)Use their observations and ideas to suggest answers to questions </w:t>
            </w:r>
          </w:p>
        </w:tc>
        <w:tc>
          <w:tcPr>
            <w:tcW w:w="336" w:type="dxa"/>
            <w:tcBorders>
              <w:top w:val="single" w:sz="4" w:space="0" w:color="000000"/>
              <w:left w:val="single" w:sz="4" w:space="0" w:color="000000"/>
              <w:bottom w:val="single" w:sz="4" w:space="0" w:color="000000"/>
              <w:right w:val="nil"/>
            </w:tcBorders>
          </w:tcPr>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06" w:type="dxa"/>
            <w:tcBorders>
              <w:top w:val="single" w:sz="4" w:space="0" w:color="000000"/>
              <w:left w:val="nil"/>
              <w:bottom w:val="single" w:sz="4" w:space="0" w:color="000000"/>
              <w:right w:val="single" w:sz="4" w:space="0" w:color="000000"/>
            </w:tcBorders>
          </w:tcPr>
          <w:p w:rsidR="00A627A1" w:rsidRDefault="00E30F6D">
            <w:pPr>
              <w:ind w:right="0"/>
              <w:jc w:val="left"/>
            </w:pPr>
            <w:r>
              <w:rPr>
                <w:b w:val="0"/>
                <w:sz w:val="14"/>
              </w:rPr>
              <w:t xml:space="preserve"> </w:t>
            </w:r>
          </w:p>
        </w:tc>
      </w:tr>
      <w:tr w:rsidR="00A627A1">
        <w:trPr>
          <w:trHeight w:val="2938"/>
        </w:trPr>
        <w:tc>
          <w:tcPr>
            <w:tcW w:w="929" w:type="dxa"/>
            <w:tcBorders>
              <w:top w:val="single" w:sz="4" w:space="0" w:color="000000"/>
              <w:left w:val="single" w:sz="4" w:space="0" w:color="000000"/>
              <w:bottom w:val="single" w:sz="4" w:space="0" w:color="000000"/>
              <w:right w:val="single" w:sz="4" w:space="0" w:color="000000"/>
            </w:tcBorders>
            <w:shd w:val="clear" w:color="auto" w:fill="00B050"/>
          </w:tcPr>
          <w:p w:rsidR="00A627A1" w:rsidRDefault="00E30F6D">
            <w:pPr>
              <w:ind w:left="62" w:right="0"/>
              <w:jc w:val="center"/>
            </w:pPr>
            <w:r>
              <w:rPr>
                <w:sz w:val="16"/>
              </w:rPr>
              <w:t xml:space="preserve">3/4 </w:t>
            </w:r>
          </w:p>
        </w:tc>
        <w:tc>
          <w:tcPr>
            <w:tcW w:w="324" w:type="dxa"/>
            <w:tcBorders>
              <w:top w:val="single" w:sz="4" w:space="0" w:color="000000"/>
              <w:left w:val="single" w:sz="4" w:space="0" w:color="000000"/>
              <w:bottom w:val="single" w:sz="4" w:space="0" w:color="000000"/>
              <w:right w:val="nil"/>
            </w:tcBorders>
          </w:tcPr>
          <w:p w:rsidR="00A627A1" w:rsidRDefault="00E30F6D">
            <w:pPr>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21" w:type="dxa"/>
            <w:tcBorders>
              <w:top w:val="single" w:sz="4" w:space="0" w:color="000000"/>
              <w:left w:val="nil"/>
              <w:bottom w:val="single" w:sz="4" w:space="0" w:color="000000"/>
              <w:right w:val="single" w:sz="4" w:space="0" w:color="000000"/>
            </w:tcBorders>
          </w:tcPr>
          <w:p w:rsidR="00A627A1" w:rsidRDefault="00E30F6D">
            <w:pPr>
              <w:spacing w:line="243" w:lineRule="auto"/>
              <w:ind w:left="14" w:right="0"/>
              <w:jc w:val="both"/>
            </w:pPr>
            <w:r>
              <w:rPr>
                <w:b w:val="0"/>
                <w:sz w:val="14"/>
              </w:rPr>
              <w:t xml:space="preserve">Become confident in identifying relationships </w:t>
            </w:r>
          </w:p>
          <w:p w:rsidR="00A627A1" w:rsidRDefault="00E30F6D">
            <w:pPr>
              <w:ind w:left="14" w:right="0"/>
              <w:jc w:val="left"/>
            </w:pPr>
            <w:r>
              <w:rPr>
                <w:b w:val="0"/>
                <w:sz w:val="14"/>
              </w:rPr>
              <w:t xml:space="preserve">between variables (patterns) </w:t>
            </w:r>
          </w:p>
          <w:p w:rsidR="00A627A1" w:rsidRDefault="00E30F6D">
            <w:pPr>
              <w:ind w:left="14" w:right="0"/>
              <w:jc w:val="left"/>
            </w:pPr>
            <w:r>
              <w:rPr>
                <w:b w:val="0"/>
                <w:sz w:val="1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A627A1" w:rsidRDefault="00E30F6D">
            <w:pPr>
              <w:numPr>
                <w:ilvl w:val="0"/>
                <w:numId w:val="4"/>
              </w:numPr>
              <w:spacing w:after="13" w:line="242" w:lineRule="auto"/>
              <w:ind w:right="0" w:hanging="228"/>
              <w:jc w:val="left"/>
            </w:pPr>
            <w:r>
              <w:rPr>
                <w:b w:val="0"/>
                <w:sz w:val="14"/>
              </w:rPr>
              <w:t xml:space="preserve">Results tables with the independent variable increasing in one column and the dependent variable in the other </w:t>
            </w:r>
          </w:p>
          <w:p w:rsidR="00A627A1" w:rsidRDefault="00E30F6D">
            <w:pPr>
              <w:numPr>
                <w:ilvl w:val="0"/>
                <w:numId w:val="4"/>
              </w:numPr>
              <w:ind w:right="0" w:hanging="228"/>
              <w:jc w:val="left"/>
            </w:pPr>
            <w:r>
              <w:rPr>
                <w:b w:val="0"/>
                <w:sz w:val="14"/>
              </w:rPr>
              <w:t xml:space="preserve">Increasing use of equipment that allows for standard measure (thermometers, data loggers, measuring cylinders, force meters, digital balances) </w:t>
            </w:r>
          </w:p>
        </w:tc>
        <w:tc>
          <w:tcPr>
            <w:tcW w:w="336" w:type="dxa"/>
            <w:tcBorders>
              <w:top w:val="single" w:sz="4" w:space="0" w:color="000000"/>
              <w:left w:val="single" w:sz="4" w:space="0" w:color="000000"/>
              <w:bottom w:val="single" w:sz="4" w:space="0" w:color="000000"/>
              <w:right w:val="nil"/>
            </w:tcBorders>
          </w:tcPr>
          <w:p w:rsidR="00A627A1" w:rsidRDefault="00E30F6D">
            <w:pPr>
              <w:spacing w:after="405"/>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spacing w:after="407"/>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85" w:type="dxa"/>
            <w:tcBorders>
              <w:top w:val="single" w:sz="4" w:space="0" w:color="000000"/>
              <w:left w:val="nil"/>
              <w:bottom w:val="single" w:sz="4" w:space="0" w:color="000000"/>
              <w:right w:val="single" w:sz="4" w:space="0" w:color="000000"/>
            </w:tcBorders>
          </w:tcPr>
          <w:p w:rsidR="00A627A1" w:rsidRDefault="00E30F6D">
            <w:pPr>
              <w:spacing w:after="1" w:line="241" w:lineRule="auto"/>
              <w:ind w:right="105"/>
              <w:jc w:val="left"/>
            </w:pPr>
            <w:r>
              <w:rPr>
                <w:b w:val="0"/>
                <w:sz w:val="14"/>
              </w:rPr>
              <w:t xml:space="preserve">Ask relevant questions and use different types of scientific enquiries to answer them Set up simple practical enquiries, comparative and fair tests </w:t>
            </w:r>
          </w:p>
          <w:p w:rsidR="00A627A1" w:rsidRDefault="00E30F6D">
            <w:pPr>
              <w:ind w:right="2"/>
              <w:jc w:val="left"/>
            </w:pPr>
            <w:r>
              <w:rPr>
                <w:sz w:val="14"/>
              </w:rPr>
              <w:t xml:space="preserve">(WS1)Recognise that factors other than that we are changing may have an effect and seek to control these factors (what change and what measure and what keep same). </w:t>
            </w:r>
          </w:p>
        </w:tc>
        <w:tc>
          <w:tcPr>
            <w:tcW w:w="2457" w:type="dxa"/>
            <w:tcBorders>
              <w:top w:val="single" w:sz="4" w:space="0" w:color="000000"/>
              <w:left w:val="single" w:sz="4" w:space="0" w:color="000000"/>
              <w:bottom w:val="single" w:sz="4" w:space="0" w:color="000000"/>
              <w:right w:val="single" w:sz="4" w:space="0" w:color="000000"/>
            </w:tcBorders>
          </w:tcPr>
          <w:p w:rsidR="00A627A1" w:rsidRDefault="00E30F6D">
            <w:pPr>
              <w:numPr>
                <w:ilvl w:val="0"/>
                <w:numId w:val="5"/>
              </w:numPr>
              <w:spacing w:after="12" w:line="241" w:lineRule="auto"/>
              <w:ind w:right="3" w:hanging="228"/>
              <w:jc w:val="left"/>
            </w:pPr>
            <w:r>
              <w:rPr>
                <w:sz w:val="14"/>
              </w:rPr>
              <w:t xml:space="preserve">(WS2)Gather evidence to describe and classify patterns of behaviour, characteristics and properties of materials, and make generalisations from data samples. </w:t>
            </w:r>
          </w:p>
          <w:p w:rsidR="00A627A1" w:rsidRDefault="00E30F6D">
            <w:pPr>
              <w:numPr>
                <w:ilvl w:val="0"/>
                <w:numId w:val="5"/>
              </w:numPr>
              <w:spacing w:after="1" w:line="241" w:lineRule="auto"/>
              <w:ind w:right="3" w:hanging="228"/>
              <w:jc w:val="left"/>
            </w:pPr>
            <w:r>
              <w:rPr>
                <w:b w:val="0"/>
                <w:sz w:val="14"/>
              </w:rPr>
              <w:t xml:space="preserve">Make systematic and careful observations and, where appropriate, take accurate measurements using standard </w:t>
            </w:r>
          </w:p>
          <w:p w:rsidR="00A627A1" w:rsidRDefault="00E30F6D">
            <w:pPr>
              <w:ind w:left="335" w:right="6"/>
              <w:jc w:val="left"/>
            </w:pPr>
            <w:r>
              <w:rPr>
                <w:b w:val="0"/>
                <w:sz w:val="14"/>
              </w:rPr>
              <w:t xml:space="preserve">units, using a range of equipment, including thermometers and data loggers </w:t>
            </w:r>
          </w:p>
        </w:tc>
        <w:tc>
          <w:tcPr>
            <w:tcW w:w="336" w:type="dxa"/>
            <w:tcBorders>
              <w:top w:val="single" w:sz="4" w:space="0" w:color="000000"/>
              <w:left w:val="single" w:sz="4" w:space="0" w:color="000000"/>
              <w:bottom w:val="single" w:sz="4" w:space="0" w:color="000000"/>
              <w:right w:val="nil"/>
            </w:tcBorders>
          </w:tcPr>
          <w:p w:rsidR="00A627A1" w:rsidRDefault="00E30F6D">
            <w:pPr>
              <w:spacing w:after="601"/>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spacing w:after="793"/>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65" w:type="dxa"/>
            <w:tcBorders>
              <w:top w:val="single" w:sz="4" w:space="0" w:color="000000"/>
              <w:left w:val="nil"/>
              <w:bottom w:val="single" w:sz="4" w:space="0" w:color="000000"/>
              <w:right w:val="single" w:sz="4" w:space="0" w:color="000000"/>
            </w:tcBorders>
          </w:tcPr>
          <w:p w:rsidR="00A627A1" w:rsidRDefault="00E30F6D">
            <w:pPr>
              <w:spacing w:line="241" w:lineRule="auto"/>
              <w:ind w:right="117"/>
              <w:jc w:val="both"/>
            </w:pPr>
            <w:r>
              <w:rPr>
                <w:b w:val="0"/>
                <w:sz w:val="14"/>
              </w:rPr>
              <w:t xml:space="preserve">Identify differences, similarities or changes related to simple scientific ideas and </w:t>
            </w:r>
          </w:p>
          <w:p w:rsidR="00A627A1" w:rsidRDefault="00E30F6D">
            <w:pPr>
              <w:ind w:right="0"/>
              <w:jc w:val="left"/>
            </w:pPr>
            <w:r>
              <w:rPr>
                <w:b w:val="0"/>
                <w:sz w:val="14"/>
              </w:rPr>
              <w:t xml:space="preserve">processes </w:t>
            </w:r>
          </w:p>
          <w:p w:rsidR="00A627A1" w:rsidRDefault="00E30F6D">
            <w:pPr>
              <w:spacing w:line="241" w:lineRule="auto"/>
              <w:ind w:right="0"/>
              <w:jc w:val="left"/>
            </w:pPr>
            <w:r>
              <w:rPr>
                <w:b w:val="0"/>
                <w:sz w:val="14"/>
              </w:rPr>
              <w:t xml:space="preserve">Report on findings from enquiries, including oral and written explanations, displays or presentations of results and conclusions </w:t>
            </w:r>
          </w:p>
          <w:p w:rsidR="00A627A1" w:rsidRDefault="00E30F6D">
            <w:pPr>
              <w:ind w:right="26"/>
              <w:jc w:val="left"/>
            </w:pPr>
            <w:r>
              <w:rPr>
                <w:b w:val="0"/>
                <w:sz w:val="14"/>
              </w:rPr>
              <w:t xml:space="preserve">Use straightforward scientific evidence to answer questions or to support their findings </w:t>
            </w:r>
          </w:p>
        </w:tc>
        <w:tc>
          <w:tcPr>
            <w:tcW w:w="336" w:type="dxa"/>
            <w:tcBorders>
              <w:top w:val="single" w:sz="4" w:space="0" w:color="000000"/>
              <w:left w:val="single" w:sz="4" w:space="0" w:color="000000"/>
              <w:bottom w:val="single" w:sz="4" w:space="0" w:color="000000"/>
              <w:right w:val="nil"/>
            </w:tcBorders>
          </w:tcPr>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06" w:type="dxa"/>
            <w:tcBorders>
              <w:top w:val="single" w:sz="4" w:space="0" w:color="000000"/>
              <w:left w:val="nil"/>
              <w:bottom w:val="single" w:sz="4" w:space="0" w:color="000000"/>
              <w:right w:val="single" w:sz="4" w:space="0" w:color="000000"/>
            </w:tcBorders>
          </w:tcPr>
          <w:p w:rsidR="00A627A1" w:rsidRDefault="00E30F6D">
            <w:pPr>
              <w:ind w:right="0"/>
              <w:jc w:val="left"/>
            </w:pPr>
            <w:r>
              <w:rPr>
                <w:b w:val="0"/>
                <w:sz w:val="14"/>
              </w:rPr>
              <w:t xml:space="preserve">Use results to draw simple conclusions, make predictions for new values, suggest improvements and raise further questions </w:t>
            </w:r>
          </w:p>
        </w:tc>
      </w:tr>
      <w:tr w:rsidR="00A627A1">
        <w:trPr>
          <w:trHeight w:val="3520"/>
        </w:trPr>
        <w:tc>
          <w:tcPr>
            <w:tcW w:w="929" w:type="dxa"/>
            <w:tcBorders>
              <w:top w:val="single" w:sz="4" w:space="0" w:color="000000"/>
              <w:left w:val="single" w:sz="4" w:space="0" w:color="000000"/>
              <w:bottom w:val="single" w:sz="4" w:space="0" w:color="000000"/>
              <w:right w:val="single" w:sz="4" w:space="0" w:color="000000"/>
            </w:tcBorders>
            <w:shd w:val="clear" w:color="auto" w:fill="00B050"/>
          </w:tcPr>
          <w:p w:rsidR="00A627A1" w:rsidRDefault="00E30F6D">
            <w:pPr>
              <w:ind w:left="62" w:right="0"/>
              <w:jc w:val="center"/>
            </w:pPr>
            <w:r>
              <w:rPr>
                <w:sz w:val="16"/>
              </w:rPr>
              <w:t xml:space="preserve">5/6 </w:t>
            </w:r>
          </w:p>
        </w:tc>
        <w:tc>
          <w:tcPr>
            <w:tcW w:w="324" w:type="dxa"/>
            <w:tcBorders>
              <w:top w:val="single" w:sz="4" w:space="0" w:color="000000"/>
              <w:left w:val="single" w:sz="4" w:space="0" w:color="000000"/>
              <w:bottom w:val="single" w:sz="4" w:space="0" w:color="000000"/>
              <w:right w:val="nil"/>
            </w:tcBorders>
          </w:tcPr>
          <w:p w:rsidR="00A627A1" w:rsidRDefault="00E30F6D">
            <w:pPr>
              <w:spacing w:after="405"/>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26"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21" w:type="dxa"/>
            <w:tcBorders>
              <w:top w:val="single" w:sz="4" w:space="0" w:color="000000"/>
              <w:left w:val="nil"/>
              <w:bottom w:val="single" w:sz="4" w:space="0" w:color="000000"/>
              <w:right w:val="single" w:sz="4" w:space="0" w:color="000000"/>
            </w:tcBorders>
          </w:tcPr>
          <w:p w:rsidR="00A627A1" w:rsidRDefault="00E30F6D">
            <w:pPr>
              <w:spacing w:line="241" w:lineRule="auto"/>
              <w:ind w:left="14" w:right="0"/>
              <w:jc w:val="left"/>
            </w:pPr>
            <w:r>
              <w:rPr>
                <w:b w:val="0"/>
                <w:sz w:val="14"/>
              </w:rPr>
              <w:t xml:space="preserve">Explore more complex relationships or questions requiring greater precision Identification of important </w:t>
            </w:r>
          </w:p>
          <w:p w:rsidR="00A627A1" w:rsidRDefault="00E30F6D">
            <w:pPr>
              <w:ind w:left="14" w:right="0"/>
              <w:jc w:val="left"/>
            </w:pPr>
            <w:r>
              <w:rPr>
                <w:b w:val="0"/>
                <w:sz w:val="14"/>
              </w:rPr>
              <w:t xml:space="preserve">values (e.g. biggest, smallest, </w:t>
            </w:r>
          </w:p>
          <w:p w:rsidR="00A627A1" w:rsidRDefault="00E30F6D">
            <w:pPr>
              <w:ind w:left="14" w:right="0"/>
              <w:jc w:val="left"/>
            </w:pPr>
            <w:r>
              <w:rPr>
                <w:b w:val="0"/>
                <w:sz w:val="14"/>
              </w:rPr>
              <w:t xml:space="preserve">optimum) </w:t>
            </w:r>
          </w:p>
          <w:p w:rsidR="00A627A1" w:rsidRDefault="00E30F6D">
            <w:pPr>
              <w:ind w:left="14" w:right="0"/>
              <w:jc w:val="left"/>
            </w:pPr>
            <w:r>
              <w:rPr>
                <w:sz w:val="1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A627A1" w:rsidRDefault="00E30F6D">
            <w:pPr>
              <w:numPr>
                <w:ilvl w:val="0"/>
                <w:numId w:val="6"/>
              </w:numPr>
              <w:spacing w:after="14" w:line="241" w:lineRule="auto"/>
              <w:ind w:right="0" w:hanging="228"/>
              <w:jc w:val="left"/>
            </w:pPr>
            <w:r>
              <w:rPr>
                <w:b w:val="0"/>
                <w:sz w:val="14"/>
              </w:rPr>
              <w:t xml:space="preserve">Results tables with the independent variable increasing in one column and the dependent variable in the other </w:t>
            </w:r>
          </w:p>
          <w:p w:rsidR="00A627A1" w:rsidRDefault="00E30F6D">
            <w:pPr>
              <w:numPr>
                <w:ilvl w:val="0"/>
                <w:numId w:val="6"/>
              </w:numPr>
              <w:spacing w:after="18" w:line="235" w:lineRule="auto"/>
              <w:ind w:right="0" w:hanging="228"/>
              <w:jc w:val="left"/>
            </w:pPr>
            <w:r>
              <w:rPr>
                <w:b w:val="0"/>
                <w:sz w:val="14"/>
              </w:rPr>
              <w:t xml:space="preserve">Results tables that show pupils </w:t>
            </w:r>
            <w:r>
              <w:rPr>
                <w:b w:val="0"/>
                <w:sz w:val="15"/>
              </w:rPr>
              <w:t>choosing</w:t>
            </w:r>
            <w:r>
              <w:rPr>
                <w:b w:val="0"/>
                <w:sz w:val="14"/>
              </w:rPr>
              <w:t xml:space="preserve"> to repeat experiments as appropriate </w:t>
            </w:r>
          </w:p>
          <w:p w:rsidR="00A627A1" w:rsidRDefault="00E30F6D">
            <w:pPr>
              <w:numPr>
                <w:ilvl w:val="0"/>
                <w:numId w:val="6"/>
              </w:numPr>
              <w:spacing w:after="12" w:line="244" w:lineRule="auto"/>
              <w:ind w:right="0" w:hanging="228"/>
              <w:jc w:val="left"/>
            </w:pPr>
            <w:r>
              <w:rPr>
                <w:b w:val="0"/>
                <w:sz w:val="14"/>
              </w:rPr>
              <w:t xml:space="preserve">Averaging of repeated measurements </w:t>
            </w:r>
          </w:p>
          <w:p w:rsidR="00A627A1" w:rsidRDefault="00E30F6D">
            <w:pPr>
              <w:numPr>
                <w:ilvl w:val="0"/>
                <w:numId w:val="6"/>
              </w:numPr>
              <w:ind w:right="0" w:hanging="228"/>
              <w:jc w:val="left"/>
            </w:pPr>
            <w:r>
              <w:rPr>
                <w:b w:val="0"/>
                <w:sz w:val="14"/>
              </w:rPr>
              <w:t xml:space="preserve">Scatter graphs to identify precise relationships and important values </w:t>
            </w:r>
          </w:p>
        </w:tc>
        <w:tc>
          <w:tcPr>
            <w:tcW w:w="336" w:type="dxa"/>
            <w:tcBorders>
              <w:top w:val="single" w:sz="4" w:space="0" w:color="000000"/>
              <w:left w:val="single" w:sz="4" w:space="0" w:color="000000"/>
              <w:bottom w:val="single" w:sz="4" w:space="0" w:color="000000"/>
              <w:right w:val="nil"/>
            </w:tcBorders>
          </w:tcPr>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85" w:type="dxa"/>
            <w:tcBorders>
              <w:top w:val="single" w:sz="4" w:space="0" w:color="000000"/>
              <w:left w:val="nil"/>
              <w:bottom w:val="single" w:sz="4" w:space="0" w:color="000000"/>
              <w:right w:val="single" w:sz="4" w:space="0" w:color="000000"/>
            </w:tcBorders>
          </w:tcPr>
          <w:p w:rsidR="00A627A1" w:rsidRDefault="00E30F6D">
            <w:pPr>
              <w:ind w:right="93"/>
              <w:jc w:val="both"/>
            </w:pPr>
            <w:r>
              <w:rPr>
                <w:b w:val="0"/>
                <w:sz w:val="14"/>
              </w:rPr>
              <w:t xml:space="preserve">Plan different types of scientific enquiries to answer questions, including recognising and controlling variables where necessary </w:t>
            </w:r>
          </w:p>
        </w:tc>
        <w:tc>
          <w:tcPr>
            <w:tcW w:w="2457" w:type="dxa"/>
            <w:tcBorders>
              <w:top w:val="single" w:sz="4" w:space="0" w:color="000000"/>
              <w:left w:val="single" w:sz="4" w:space="0" w:color="000000"/>
              <w:bottom w:val="single" w:sz="4" w:space="0" w:color="000000"/>
              <w:right w:val="single" w:sz="4" w:space="0" w:color="000000"/>
            </w:tcBorders>
          </w:tcPr>
          <w:p w:rsidR="00A627A1" w:rsidRDefault="00E30F6D">
            <w:pPr>
              <w:numPr>
                <w:ilvl w:val="0"/>
                <w:numId w:val="7"/>
              </w:numPr>
              <w:spacing w:line="241" w:lineRule="auto"/>
              <w:ind w:right="42" w:hanging="228"/>
              <w:jc w:val="left"/>
            </w:pPr>
            <w:r>
              <w:rPr>
                <w:b w:val="0"/>
                <w:sz w:val="14"/>
              </w:rPr>
              <w:t xml:space="preserve">Take measurements, using a range of scientific equipment, with increasing accuracy and precision, taking repeat </w:t>
            </w:r>
          </w:p>
          <w:p w:rsidR="00A627A1" w:rsidRDefault="00E30F6D">
            <w:pPr>
              <w:spacing w:after="2"/>
              <w:ind w:right="4"/>
              <w:jc w:val="center"/>
            </w:pPr>
            <w:r>
              <w:rPr>
                <w:b w:val="0"/>
                <w:sz w:val="14"/>
              </w:rPr>
              <w:t xml:space="preserve">readings when appropriate </w:t>
            </w:r>
          </w:p>
          <w:p w:rsidR="00A627A1" w:rsidRDefault="00E30F6D">
            <w:pPr>
              <w:numPr>
                <w:ilvl w:val="0"/>
                <w:numId w:val="7"/>
              </w:numPr>
              <w:spacing w:line="241" w:lineRule="auto"/>
              <w:ind w:right="42" w:hanging="228"/>
              <w:jc w:val="left"/>
            </w:pPr>
            <w:r>
              <w:rPr>
                <w:sz w:val="14"/>
              </w:rPr>
              <w:t xml:space="preserve">(WS2)Understand that repeating experiments helps to identify what the true value is and that data points far from the mean are likely to be inaccurate and should be discounted when averaging. </w:t>
            </w:r>
          </w:p>
          <w:p w:rsidR="00A627A1" w:rsidRDefault="00E30F6D">
            <w:pPr>
              <w:ind w:left="107" w:right="0"/>
              <w:jc w:val="left"/>
            </w:pPr>
            <w:r>
              <w:rPr>
                <w:b w:val="0"/>
                <w:sz w:val="14"/>
              </w:rPr>
              <w:t xml:space="preserve"> </w:t>
            </w:r>
          </w:p>
        </w:tc>
        <w:tc>
          <w:tcPr>
            <w:tcW w:w="336" w:type="dxa"/>
            <w:tcBorders>
              <w:top w:val="single" w:sz="4" w:space="0" w:color="000000"/>
              <w:left w:val="single" w:sz="4" w:space="0" w:color="000000"/>
              <w:bottom w:val="single" w:sz="4" w:space="0" w:color="000000"/>
              <w:right w:val="nil"/>
            </w:tcBorders>
          </w:tcPr>
          <w:p w:rsidR="00A627A1" w:rsidRDefault="00E30F6D">
            <w:pPr>
              <w:spacing w:after="405"/>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spacing w:after="1381"/>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65" w:type="dxa"/>
            <w:tcBorders>
              <w:top w:val="single" w:sz="4" w:space="0" w:color="000000"/>
              <w:left w:val="nil"/>
              <w:bottom w:val="single" w:sz="4" w:space="0" w:color="000000"/>
              <w:right w:val="single" w:sz="4" w:space="0" w:color="000000"/>
            </w:tcBorders>
          </w:tcPr>
          <w:p w:rsidR="00A627A1" w:rsidRDefault="00E30F6D">
            <w:pPr>
              <w:spacing w:after="2" w:line="241" w:lineRule="auto"/>
              <w:ind w:right="0"/>
              <w:jc w:val="left"/>
            </w:pPr>
            <w:r>
              <w:rPr>
                <w:b w:val="0"/>
                <w:sz w:val="14"/>
              </w:rPr>
              <w:t xml:space="preserve">Identify scientific evidence that has been used to support or refute ideas or arguments Report and present findings from enquiries, including conclusions, causal </w:t>
            </w:r>
          </w:p>
          <w:p w:rsidR="00A627A1" w:rsidRDefault="00E30F6D">
            <w:pPr>
              <w:ind w:right="120"/>
              <w:jc w:val="both"/>
            </w:pPr>
            <w:r>
              <w:rPr>
                <w:b w:val="0"/>
                <w:sz w:val="14"/>
              </w:rPr>
              <w:t xml:space="preserve">relationships and explanations of and degree of trust in results, in oral and written forms such as displays and other presentations </w:t>
            </w:r>
            <w:r>
              <w:rPr>
                <w:sz w:val="14"/>
              </w:rPr>
              <w:t xml:space="preserve">(WS1)Recognise that conclusions may be uncertain due to difficulties controlling and measuring variables accurately and that measurement always introduces some error </w:t>
            </w:r>
          </w:p>
        </w:tc>
        <w:tc>
          <w:tcPr>
            <w:tcW w:w="336" w:type="dxa"/>
            <w:tcBorders>
              <w:top w:val="single" w:sz="4" w:space="0" w:color="000000"/>
              <w:left w:val="single" w:sz="4" w:space="0" w:color="000000"/>
              <w:bottom w:val="single" w:sz="4" w:space="0" w:color="000000"/>
              <w:right w:val="nil"/>
            </w:tcBorders>
          </w:tcPr>
          <w:p w:rsidR="00A627A1" w:rsidRDefault="00E30F6D">
            <w:pPr>
              <w:spacing w:after="408"/>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p w:rsidR="00A627A1" w:rsidRDefault="00E30F6D">
            <w:pPr>
              <w:ind w:left="11" w:right="0"/>
              <w:jc w:val="center"/>
            </w:pPr>
            <w:r>
              <w:rPr>
                <w:rFonts w:ascii="Segoe UI Symbol" w:eastAsia="Segoe UI Symbol" w:hAnsi="Segoe UI Symbol" w:cs="Segoe UI Symbol"/>
                <w:b w:val="0"/>
                <w:sz w:val="14"/>
              </w:rPr>
              <w:t></w:t>
            </w:r>
            <w:r>
              <w:rPr>
                <w:rFonts w:ascii="Arial" w:eastAsia="Arial" w:hAnsi="Arial" w:cs="Arial"/>
                <w:b w:val="0"/>
                <w:sz w:val="14"/>
              </w:rPr>
              <w:t xml:space="preserve"> </w:t>
            </w:r>
          </w:p>
        </w:tc>
        <w:tc>
          <w:tcPr>
            <w:tcW w:w="2106" w:type="dxa"/>
            <w:tcBorders>
              <w:top w:val="single" w:sz="4" w:space="0" w:color="000000"/>
              <w:left w:val="nil"/>
              <w:bottom w:val="single" w:sz="4" w:space="0" w:color="000000"/>
              <w:right w:val="single" w:sz="4" w:space="0" w:color="000000"/>
            </w:tcBorders>
          </w:tcPr>
          <w:p w:rsidR="00A627A1" w:rsidRDefault="00E30F6D">
            <w:pPr>
              <w:ind w:right="141"/>
              <w:jc w:val="both"/>
            </w:pPr>
            <w:r>
              <w:rPr>
                <w:b w:val="0"/>
                <w:sz w:val="14"/>
              </w:rPr>
              <w:t xml:space="preserve">Use test results to make predictions to set up further comparative and fair tests </w:t>
            </w:r>
            <w:r>
              <w:rPr>
                <w:sz w:val="14"/>
              </w:rPr>
              <w:t>(WS3</w:t>
            </w:r>
            <w:proofErr w:type="gramStart"/>
            <w:r>
              <w:rPr>
                <w:sz w:val="14"/>
              </w:rPr>
              <w:t>)Adapting</w:t>
            </w:r>
            <w:proofErr w:type="gramEnd"/>
            <w:r>
              <w:rPr>
                <w:sz w:val="14"/>
              </w:rPr>
              <w:t xml:space="preserve"> experiments to produce more precise conclusions when the question requires it, especially when seeking to find maximum, minimum or specific values.</w:t>
            </w:r>
            <w:r>
              <w:rPr>
                <w:b w:val="0"/>
                <w:sz w:val="14"/>
              </w:rPr>
              <w:t xml:space="preserve"> </w:t>
            </w:r>
          </w:p>
        </w:tc>
      </w:tr>
    </w:tbl>
    <w:p w:rsidR="00A627A1" w:rsidRDefault="00E30F6D">
      <w:pPr>
        <w:spacing w:line="397" w:lineRule="auto"/>
        <w:ind w:right="6919"/>
      </w:pPr>
      <w:r>
        <w:rPr>
          <w:b w:val="0"/>
          <w:sz w:val="20"/>
        </w:rPr>
        <w:t xml:space="preserve">  </w:t>
      </w:r>
    </w:p>
    <w:sectPr w:rsidR="00A627A1">
      <w:pgSz w:w="16838" w:h="23813"/>
      <w:pgMar w:top="1218" w:right="144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3F"/>
    <w:multiLevelType w:val="hybridMultilevel"/>
    <w:tmpl w:val="858E180C"/>
    <w:lvl w:ilvl="0" w:tplc="C726915E">
      <w:start w:val="1"/>
      <w:numFmt w:val="bullet"/>
      <w:lvlText w:val="•"/>
      <w:lvlJc w:val="left"/>
      <w:pPr>
        <w:ind w:left="3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D5E68A0">
      <w:start w:val="1"/>
      <w:numFmt w:val="bullet"/>
      <w:lvlText w:val="o"/>
      <w:lvlJc w:val="left"/>
      <w:pPr>
        <w:ind w:left="11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3A8C4B6">
      <w:start w:val="1"/>
      <w:numFmt w:val="bullet"/>
      <w:lvlText w:val="▪"/>
      <w:lvlJc w:val="left"/>
      <w:pPr>
        <w:ind w:left="19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0AA4A918">
      <w:start w:val="1"/>
      <w:numFmt w:val="bullet"/>
      <w:lvlText w:val="•"/>
      <w:lvlJc w:val="left"/>
      <w:pPr>
        <w:ind w:left="26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204FCC4">
      <w:start w:val="1"/>
      <w:numFmt w:val="bullet"/>
      <w:lvlText w:val="o"/>
      <w:lvlJc w:val="left"/>
      <w:pPr>
        <w:ind w:left="33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D849DB4">
      <w:start w:val="1"/>
      <w:numFmt w:val="bullet"/>
      <w:lvlText w:val="▪"/>
      <w:lvlJc w:val="left"/>
      <w:pPr>
        <w:ind w:left="40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789A4856">
      <w:start w:val="1"/>
      <w:numFmt w:val="bullet"/>
      <w:lvlText w:val="•"/>
      <w:lvlJc w:val="left"/>
      <w:pPr>
        <w:ind w:left="47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7DC77EA">
      <w:start w:val="1"/>
      <w:numFmt w:val="bullet"/>
      <w:lvlText w:val="o"/>
      <w:lvlJc w:val="left"/>
      <w:pPr>
        <w:ind w:left="55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12E34C8">
      <w:start w:val="1"/>
      <w:numFmt w:val="bullet"/>
      <w:lvlText w:val="▪"/>
      <w:lvlJc w:val="left"/>
      <w:pPr>
        <w:ind w:left="62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CEB2A24"/>
    <w:multiLevelType w:val="hybridMultilevel"/>
    <w:tmpl w:val="A81A8A7C"/>
    <w:lvl w:ilvl="0" w:tplc="5AE6B090">
      <w:start w:val="1"/>
      <w:numFmt w:val="bullet"/>
      <w:lvlText w:val="•"/>
      <w:lvlJc w:val="left"/>
      <w:pPr>
        <w:ind w:left="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4C24DD6">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C48E700">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06418E0">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3608C9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9CE17D2">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84E7406">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AD6AAE8">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1E20B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A78065B"/>
    <w:multiLevelType w:val="hybridMultilevel"/>
    <w:tmpl w:val="1AF20050"/>
    <w:lvl w:ilvl="0" w:tplc="70F00A5A">
      <w:start w:val="1"/>
      <w:numFmt w:val="bullet"/>
      <w:lvlText w:val="•"/>
      <w:lvlJc w:val="left"/>
      <w:pPr>
        <w:ind w:left="3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A36147A">
      <w:start w:val="1"/>
      <w:numFmt w:val="bullet"/>
      <w:lvlText w:val="o"/>
      <w:lvlJc w:val="left"/>
      <w:pPr>
        <w:ind w:left="11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0E36842E">
      <w:start w:val="1"/>
      <w:numFmt w:val="bullet"/>
      <w:lvlText w:val="▪"/>
      <w:lvlJc w:val="left"/>
      <w:pPr>
        <w:ind w:left="19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3EEA0832">
      <w:start w:val="1"/>
      <w:numFmt w:val="bullet"/>
      <w:lvlText w:val="•"/>
      <w:lvlJc w:val="left"/>
      <w:pPr>
        <w:ind w:left="26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2628B36">
      <w:start w:val="1"/>
      <w:numFmt w:val="bullet"/>
      <w:lvlText w:val="o"/>
      <w:lvlJc w:val="left"/>
      <w:pPr>
        <w:ind w:left="33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32CE948">
      <w:start w:val="1"/>
      <w:numFmt w:val="bullet"/>
      <w:lvlText w:val="▪"/>
      <w:lvlJc w:val="left"/>
      <w:pPr>
        <w:ind w:left="40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1C8BF4E">
      <w:start w:val="1"/>
      <w:numFmt w:val="bullet"/>
      <w:lvlText w:val="•"/>
      <w:lvlJc w:val="left"/>
      <w:pPr>
        <w:ind w:left="47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27CF14A">
      <w:start w:val="1"/>
      <w:numFmt w:val="bullet"/>
      <w:lvlText w:val="o"/>
      <w:lvlJc w:val="left"/>
      <w:pPr>
        <w:ind w:left="55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4228B68">
      <w:start w:val="1"/>
      <w:numFmt w:val="bullet"/>
      <w:lvlText w:val="▪"/>
      <w:lvlJc w:val="left"/>
      <w:pPr>
        <w:ind w:left="62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DB24CF1"/>
    <w:multiLevelType w:val="hybridMultilevel"/>
    <w:tmpl w:val="E51E6630"/>
    <w:lvl w:ilvl="0" w:tplc="DAE298D0">
      <w:start w:val="1"/>
      <w:numFmt w:val="bullet"/>
      <w:lvlText w:val="•"/>
      <w:lvlJc w:val="left"/>
      <w:pPr>
        <w:ind w:left="3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15C0698">
      <w:start w:val="1"/>
      <w:numFmt w:val="bullet"/>
      <w:lvlText w:val="o"/>
      <w:lvlJc w:val="left"/>
      <w:pPr>
        <w:ind w:left="11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30A481F0">
      <w:start w:val="1"/>
      <w:numFmt w:val="bullet"/>
      <w:lvlText w:val="▪"/>
      <w:lvlJc w:val="left"/>
      <w:pPr>
        <w:ind w:left="19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37227694">
      <w:start w:val="1"/>
      <w:numFmt w:val="bullet"/>
      <w:lvlText w:val="•"/>
      <w:lvlJc w:val="left"/>
      <w:pPr>
        <w:ind w:left="26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C22C9EC">
      <w:start w:val="1"/>
      <w:numFmt w:val="bullet"/>
      <w:lvlText w:val="o"/>
      <w:lvlJc w:val="left"/>
      <w:pPr>
        <w:ind w:left="33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1FA425EE">
      <w:start w:val="1"/>
      <w:numFmt w:val="bullet"/>
      <w:lvlText w:val="▪"/>
      <w:lvlJc w:val="left"/>
      <w:pPr>
        <w:ind w:left="40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45AABFE">
      <w:start w:val="1"/>
      <w:numFmt w:val="bullet"/>
      <w:lvlText w:val="•"/>
      <w:lvlJc w:val="left"/>
      <w:pPr>
        <w:ind w:left="47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8FE2E5E">
      <w:start w:val="1"/>
      <w:numFmt w:val="bullet"/>
      <w:lvlText w:val="o"/>
      <w:lvlJc w:val="left"/>
      <w:pPr>
        <w:ind w:left="55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5D6C5DC">
      <w:start w:val="1"/>
      <w:numFmt w:val="bullet"/>
      <w:lvlText w:val="▪"/>
      <w:lvlJc w:val="left"/>
      <w:pPr>
        <w:ind w:left="62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34D75F02"/>
    <w:multiLevelType w:val="hybridMultilevel"/>
    <w:tmpl w:val="3CA03128"/>
    <w:lvl w:ilvl="0" w:tplc="4DA65EC4">
      <w:start w:val="1"/>
      <w:numFmt w:val="bullet"/>
      <w:lvlText w:val="•"/>
      <w:lvlJc w:val="left"/>
      <w:pPr>
        <w:ind w:left="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C983D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6EA929E">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C867478">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42CF786">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2E60E60">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B9462872">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B7E03B8">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908A0D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380270F0"/>
    <w:multiLevelType w:val="hybridMultilevel"/>
    <w:tmpl w:val="DCBA7C88"/>
    <w:lvl w:ilvl="0" w:tplc="DD84BE68">
      <w:start w:val="1"/>
      <w:numFmt w:val="bullet"/>
      <w:lvlText w:val="•"/>
      <w:lvlJc w:val="left"/>
      <w:pPr>
        <w:ind w:left="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B141D5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8406CF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6DE6A28">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866575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A9A007B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C0A99D6">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5A8BBD0">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C75A4F2E">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3C891A97"/>
    <w:multiLevelType w:val="hybridMultilevel"/>
    <w:tmpl w:val="A37C399C"/>
    <w:lvl w:ilvl="0" w:tplc="A888E744">
      <w:start w:val="1"/>
      <w:numFmt w:val="bullet"/>
      <w:lvlText w:val="•"/>
      <w:lvlJc w:val="left"/>
      <w:pPr>
        <w:ind w:left="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894D6CA">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5C8A16E">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7B32CA74">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E08E7CC">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B0808CC">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07E43B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032F650">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CF65A0E">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A1"/>
    <w:rsid w:val="00A627A1"/>
    <w:rsid w:val="00B87BF9"/>
    <w:rsid w:val="00E30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BDD6"/>
  <w15:docId w15:val="{ACACB741-0FAA-463D-BF59-C6747E87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right="4492"/>
      <w:jc w:val="right"/>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Montgomerie</dc:creator>
  <cp:keywords/>
  <cp:lastModifiedBy>Fiona Craig</cp:lastModifiedBy>
  <cp:revision>2</cp:revision>
  <dcterms:created xsi:type="dcterms:W3CDTF">2020-03-03T12:08:00Z</dcterms:created>
  <dcterms:modified xsi:type="dcterms:W3CDTF">2020-03-03T12:08:00Z</dcterms:modified>
</cp:coreProperties>
</file>